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9B" w:rsidRDefault="008B219B" w:rsidP="008B219B">
      <w:pPr>
        <w:pStyle w:val="anchor"/>
        <w:jc w:val="right"/>
      </w:pPr>
      <w:r>
        <w:t>Додаток 2</w:t>
      </w:r>
      <w:r>
        <w:br/>
        <w:t>до Порядку</w:t>
      </w:r>
    </w:p>
    <w:p w:rsidR="008B219B" w:rsidRDefault="008B219B" w:rsidP="008B219B">
      <w:pPr>
        <w:pStyle w:val="Heading2"/>
        <w:jc w:val="center"/>
        <w:rPr>
          <w:rFonts w:eastAsia="Times New Roman"/>
        </w:rPr>
      </w:pPr>
      <w:r>
        <w:rPr>
          <w:rFonts w:eastAsia="Times New Roman"/>
        </w:rPr>
        <w:t>Правила військового обліку призовників, військовозобов’язаних та резервістів</w:t>
      </w:r>
    </w:p>
    <w:p w:rsidR="008B219B" w:rsidRDefault="008B219B" w:rsidP="008B219B">
      <w:pPr>
        <w:pStyle w:val="anchor"/>
        <w:jc w:val="both"/>
      </w:pPr>
      <w:r>
        <w:t>1. Призовники, військовозобов’язані та резервісти повинні:</w:t>
      </w:r>
    </w:p>
    <w:p w:rsidR="008B219B" w:rsidRDefault="008B219B" w:rsidP="008B219B">
      <w:pPr>
        <w:pStyle w:val="anchor"/>
        <w:jc w:val="both"/>
      </w:pPr>
      <w:r>
        <w:t>1) перебувати на військовому обліку:</w:t>
      </w:r>
    </w:p>
    <w:p w:rsidR="008B219B" w:rsidRDefault="008B219B" w:rsidP="008B219B">
      <w:pPr>
        <w:pStyle w:val="anchor"/>
        <w:jc w:val="both"/>
      </w:pPr>
      <w:r>
        <w:rPr>
          <w:rFonts w:eastAsia="Times New Roman"/>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Служби зовнішньої розвідки — у відповідному підрозділі Служби зовнішньої розвідки). Крім того, призовники,</w:t>
      </w:r>
      <w:r w:rsidRPr="008B219B">
        <w:t xml:space="preserve"> </w:t>
      </w:r>
      <w:r>
        <w:t>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8B219B" w:rsidRDefault="008B219B" w:rsidP="008B219B">
      <w:pPr>
        <w:pStyle w:val="anchor"/>
        <w:jc w:val="both"/>
      </w:pPr>
      <w: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8B219B" w:rsidRDefault="008B219B" w:rsidP="008B219B">
      <w:pPr>
        <w:pStyle w:val="anchor"/>
        <w:jc w:val="both"/>
      </w:pPr>
      <w:r>
        <w:t>у разі вибуття за межі України на строк більше трьох місяців — за місцем консульського обліку в закордонних дипломатичних установах України;</w:t>
      </w:r>
    </w:p>
    <w:p w:rsidR="008B219B" w:rsidRDefault="008B219B" w:rsidP="008B219B">
      <w:pPr>
        <w:pStyle w:val="anchor"/>
        <w:jc w:val="both"/>
      </w:pPr>
      <w:r>
        <w:t>2) прибувати за викликом районних (міських) територіальних центрів комплектування та соціальної підтримки, органів СБУ, підрозділів Служби зовнішньої розвідки на збірні пункти, призовні дільниці, до територіальних центрів комплектування та соціальної підтримки, органів СБУ, підрозділів Служби зовнішньої розвідки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підрозділів Служби зовнішньої розвідки для взяття на військовий облік та визначення призначення на особливий період, оформлення військово-облікових документів,</w:t>
      </w:r>
      <w:r w:rsidRPr="008B219B">
        <w:t xml:space="preserve"> </w:t>
      </w:r>
      <w:r>
        <w:t>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8B219B" w:rsidRDefault="008B219B" w:rsidP="008B219B">
      <w:pPr>
        <w:pStyle w:val="anchor"/>
        <w:jc w:val="both"/>
      </w:pPr>
      <w:r>
        <w:t>3) не змінювати місце проживання з моменту оголошення мобілізації та у воєнний час без дозволу керівника відповідного районного (міського) територіального центру комплектування та соціальної підтримки (військовозобов’язаних та резервістів СБУ, Служби зовнішньої розвідки — без дозволу відповідного керівника);</w:t>
      </w:r>
    </w:p>
    <w:p w:rsidR="008B219B" w:rsidRDefault="008B219B" w:rsidP="008B219B">
      <w:pPr>
        <w:pStyle w:val="anchor"/>
        <w:jc w:val="both"/>
      </w:pPr>
      <w:r>
        <w:rPr>
          <w:rFonts w:eastAsia="Times New Roman"/>
        </w:rPr>
        <w:t>4) проходити медичний огляд та лікування в закладах охорони здоров’я згідно з рішеннями комісій з питань приписки, призовних комісій або військово-лікарських комісій районних</w:t>
      </w:r>
      <w:r>
        <w:t>(міських) територіальних центрів комплектування та соціальної підтримки, закладів охорони здоров’я СБУ, а у Службі зовнішньої розвідки — за рішенням керівників відповідних підрозділів або військово-лікарської комісії Служби зовнішньої розвідки;</w:t>
      </w:r>
    </w:p>
    <w:p w:rsidR="008B219B" w:rsidRDefault="008B219B" w:rsidP="008B219B">
      <w:pPr>
        <w:pStyle w:val="anchor"/>
        <w:jc w:val="both"/>
      </w:pPr>
      <w: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8B219B" w:rsidRDefault="008B219B" w:rsidP="008B219B">
      <w:pPr>
        <w:pStyle w:val="anchor"/>
        <w:jc w:val="both"/>
      </w:pPr>
      <w:r>
        <w:rPr>
          <w:rFonts w:eastAsia="Times New Roman"/>
        </w:rPr>
        <w:lastRenderedPageBreak/>
        <w:t>6) особисто прибувати до районних (міських) територіальних центрів комплектування та соціальної підтримки, органів СБУ, підрозділів Служби зовнішньої розвідки з паспортом громадянина України і військово-обліковими документами для зняття з військового обліку в разі вибуття в іншу місцевість до нового місця проживання, за межі України на постійне місце</w:t>
      </w:r>
      <w:r>
        <w:t>проживання або на строк більше трьох місяців, у разі зміни місця проживання в межах міста з переїздом на територію іншого адміністративного району;</w:t>
      </w:r>
    </w:p>
    <w:p w:rsidR="008B219B" w:rsidRDefault="008B219B" w:rsidP="008B219B">
      <w:pPr>
        <w:pStyle w:val="anchor"/>
        <w:jc w:val="both"/>
      </w:pPr>
      <w: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підрозділу Служби зовнішньої розвідки, закордонної дипломатичної установи України), який організовує та веде військовий облік на території відповідної адміністративно-територіальної одиниці, для взяття на військовий облік;</w:t>
      </w:r>
    </w:p>
    <w:p w:rsidR="008B219B" w:rsidRDefault="008B219B" w:rsidP="008B219B">
      <w:pPr>
        <w:pStyle w:val="anchor"/>
        <w:jc w:val="both"/>
      </w:pPr>
      <w:r>
        <w:rPr>
          <w:rFonts w:eastAsia="Times New Roman"/>
        </w:rPr>
        <w:t>8) особисто повідомляти в семиденний строк органам, в яких вони перебувають на військовому обліку, про зміну</w:t>
      </w:r>
      <w:r>
        <w:t xml:space="preserve">персональних даних, зазначених у </w:t>
      </w:r>
      <w:hyperlink r:id="rId4" w:anchor="888d188473" w:tgtFrame="_blank" w:history="1">
        <w:r>
          <w:rPr>
            <w:rStyle w:val="Hyperlink"/>
          </w:rPr>
          <w:t>статті 7 Закону України «Про Єдиний державний реєстр призовників, військовозобов’язаних та резервістів»</w:t>
        </w:r>
      </w:hyperlink>
      <w:r>
        <w:t xml:space="preserve">,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w:t>
      </w:r>
      <w:hyperlink r:id="rId5" w:anchor="e63542fcdd" w:tgtFrame="_blank" w:history="1">
        <w:r>
          <w:rPr>
            <w:rStyle w:val="Hyperlink"/>
          </w:rPr>
          <w:t>статті 23 Закону України «Про мобілізаційну підготовку та мобілізацію»</w:t>
        </w:r>
      </w:hyperlink>
      <w:r>
        <w:t>;</w:t>
      </w:r>
    </w:p>
    <w:p w:rsidR="008B219B" w:rsidRDefault="008B219B" w:rsidP="008B219B">
      <w:pPr>
        <w:pStyle w:val="anchor"/>
        <w:jc w:val="both"/>
      </w:pPr>
      <w:r>
        <w:t>9) негайно повідомляти районним (міським) територіальним центрам комплектування та соціальної підтримки, органам СБУ, підрозділам Служби зовнішньої розвідки за місцем військового обліку про втрату військово-облікового документа;</w:t>
      </w:r>
    </w:p>
    <w:p w:rsidR="008B219B" w:rsidRDefault="008B219B" w:rsidP="008B219B">
      <w:pPr>
        <w:pStyle w:val="anchor"/>
        <w:jc w:val="both"/>
      </w:pPr>
      <w:r>
        <w:rPr>
          <w:rFonts w:eastAsia="Times New Roman"/>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w:t>
      </w:r>
      <w:r>
        <w:t>підтримки, органів СБУ, підрозділів Служби зовнішньої розвідки;</w:t>
      </w:r>
    </w:p>
    <w:p w:rsidR="008B219B" w:rsidRDefault="008B219B" w:rsidP="008B219B">
      <w:pPr>
        <w:pStyle w:val="anchor"/>
        <w:jc w:val="both"/>
      </w:pPr>
      <w: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строкову військову службу.</w:t>
      </w:r>
    </w:p>
    <w:p w:rsidR="008B219B" w:rsidRDefault="008B219B" w:rsidP="008B219B">
      <w:pPr>
        <w:pStyle w:val="anchor"/>
        <w:jc w:val="both"/>
      </w:pPr>
      <w: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строкову військову службу, визначеного указом Президента України.</w:t>
      </w:r>
    </w:p>
    <w:p w:rsidR="008B219B" w:rsidRDefault="008B219B" w:rsidP="008B219B">
      <w:pPr>
        <w:pStyle w:val="anchor"/>
        <w:jc w:val="both"/>
      </w:pPr>
      <w:r>
        <w:rPr>
          <w:rFonts w:eastAsia="Times New Roman"/>
        </w:rPr>
        <w:t>3. Призовники, військовозобов’язані та резервісти за порушення правил військового обліку та законодавства про оборону,</w:t>
      </w:r>
      <w:r w:rsidRPr="008B219B">
        <w:t xml:space="preserve"> </w:t>
      </w:r>
      <w:r>
        <w:t>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Кодексом України про адміністративні правопорушення.</w:t>
      </w:r>
    </w:p>
    <w:p w:rsidR="008B219B" w:rsidRDefault="008B219B" w:rsidP="008B219B">
      <w:pPr>
        <w:pStyle w:val="anchor"/>
        <w:jc w:val="both"/>
      </w:pPr>
      <w:r>
        <w:t>4. Громадяни, які ухиляються від військового обліку, навчальних (перевірочних) або спеціальних зборів, від призову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B06C96" w:rsidRDefault="00B06C96" w:rsidP="008B219B">
      <w:pPr>
        <w:jc w:val="both"/>
      </w:pPr>
      <w:bookmarkStart w:id="0" w:name="_GoBack"/>
      <w:bookmarkEnd w:id="0"/>
    </w:p>
    <w:sectPr w:rsidR="00B06C96" w:rsidSect="00D918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9B"/>
    <w:rsid w:val="008B219B"/>
    <w:rsid w:val="00B06C96"/>
    <w:rsid w:val="00D91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2E0CF-284C-4EE4-9335-908F38AF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19B"/>
    <w:pPr>
      <w:spacing w:after="0" w:line="240" w:lineRule="auto"/>
    </w:pPr>
    <w:rPr>
      <w:rFonts w:ascii="Times New Roman" w:eastAsiaTheme="minorEastAsia" w:hAnsi="Times New Roman" w:cs="Times New Roman"/>
      <w:sz w:val="24"/>
      <w:szCs w:val="24"/>
      <w:lang w:eastAsia="ru-RU"/>
    </w:rPr>
  </w:style>
  <w:style w:type="paragraph" w:styleId="Heading2">
    <w:name w:val="heading 2"/>
    <w:basedOn w:val="Normal"/>
    <w:link w:val="Heading2Char"/>
    <w:uiPriority w:val="9"/>
    <w:semiHidden/>
    <w:unhideWhenUsed/>
    <w:qFormat/>
    <w:rsid w:val="008B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219B"/>
    <w:rPr>
      <w:rFonts w:ascii="Times New Roman" w:eastAsiaTheme="minorEastAsia" w:hAnsi="Times New Roman" w:cs="Times New Roman"/>
      <w:b/>
      <w:bCs/>
      <w:sz w:val="36"/>
      <w:szCs w:val="36"/>
      <w:lang w:eastAsia="ru-RU"/>
    </w:rPr>
  </w:style>
  <w:style w:type="paragraph" w:customStyle="1" w:styleId="anchor">
    <w:name w:val="anchor"/>
    <w:basedOn w:val="Normal"/>
    <w:rsid w:val="008B219B"/>
    <w:pPr>
      <w:spacing w:before="100" w:beforeAutospacing="1" w:after="100" w:afterAutospacing="1"/>
    </w:pPr>
  </w:style>
  <w:style w:type="character" w:styleId="Hyperlink">
    <w:name w:val="Hyperlink"/>
    <w:basedOn w:val="DefaultParagraphFont"/>
    <w:uiPriority w:val="99"/>
    <w:semiHidden/>
    <w:unhideWhenUsed/>
    <w:rsid w:val="008B2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65">
      <w:bodyDiv w:val="1"/>
      <w:marLeft w:val="0"/>
      <w:marRight w:val="0"/>
      <w:marTop w:val="0"/>
      <w:marBottom w:val="0"/>
      <w:divBdr>
        <w:top w:val="none" w:sz="0" w:space="0" w:color="auto"/>
        <w:left w:val="none" w:sz="0" w:space="0" w:color="auto"/>
        <w:bottom w:val="none" w:sz="0" w:space="0" w:color="auto"/>
        <w:right w:val="none" w:sz="0" w:space="0" w:color="auto"/>
      </w:divBdr>
    </w:div>
    <w:div w:id="215047324">
      <w:bodyDiv w:val="1"/>
      <w:marLeft w:val="0"/>
      <w:marRight w:val="0"/>
      <w:marTop w:val="0"/>
      <w:marBottom w:val="0"/>
      <w:divBdr>
        <w:top w:val="none" w:sz="0" w:space="0" w:color="auto"/>
        <w:left w:val="none" w:sz="0" w:space="0" w:color="auto"/>
        <w:bottom w:val="none" w:sz="0" w:space="0" w:color="auto"/>
        <w:right w:val="none" w:sz="0" w:space="0" w:color="auto"/>
      </w:divBdr>
    </w:div>
    <w:div w:id="400249289">
      <w:bodyDiv w:val="1"/>
      <w:marLeft w:val="0"/>
      <w:marRight w:val="0"/>
      <w:marTop w:val="0"/>
      <w:marBottom w:val="0"/>
      <w:divBdr>
        <w:top w:val="none" w:sz="0" w:space="0" w:color="auto"/>
        <w:left w:val="none" w:sz="0" w:space="0" w:color="auto"/>
        <w:bottom w:val="none" w:sz="0" w:space="0" w:color="auto"/>
        <w:right w:val="none" w:sz="0" w:space="0" w:color="auto"/>
      </w:divBdr>
    </w:div>
    <w:div w:id="664019652">
      <w:bodyDiv w:val="1"/>
      <w:marLeft w:val="0"/>
      <w:marRight w:val="0"/>
      <w:marTop w:val="0"/>
      <w:marBottom w:val="0"/>
      <w:divBdr>
        <w:top w:val="none" w:sz="0" w:space="0" w:color="auto"/>
        <w:left w:val="none" w:sz="0" w:space="0" w:color="auto"/>
        <w:bottom w:val="none" w:sz="0" w:space="0" w:color="auto"/>
        <w:right w:val="none" w:sz="0" w:space="0" w:color="auto"/>
      </w:divBdr>
    </w:div>
    <w:div w:id="1274166710">
      <w:bodyDiv w:val="1"/>
      <w:marLeft w:val="0"/>
      <w:marRight w:val="0"/>
      <w:marTop w:val="0"/>
      <w:marBottom w:val="0"/>
      <w:divBdr>
        <w:top w:val="none" w:sz="0" w:space="0" w:color="auto"/>
        <w:left w:val="none" w:sz="0" w:space="0" w:color="auto"/>
        <w:bottom w:val="none" w:sz="0" w:space="0" w:color="auto"/>
        <w:right w:val="none" w:sz="0" w:space="0" w:color="auto"/>
      </w:divBdr>
    </w:div>
    <w:div w:id="1401825027">
      <w:bodyDiv w:val="1"/>
      <w:marLeft w:val="0"/>
      <w:marRight w:val="0"/>
      <w:marTop w:val="0"/>
      <w:marBottom w:val="0"/>
      <w:divBdr>
        <w:top w:val="none" w:sz="0" w:space="0" w:color="auto"/>
        <w:left w:val="none" w:sz="0" w:space="0" w:color="auto"/>
        <w:bottom w:val="none" w:sz="0" w:space="0" w:color="auto"/>
        <w:right w:val="none" w:sz="0" w:space="0" w:color="auto"/>
      </w:divBdr>
    </w:div>
    <w:div w:id="1587305978">
      <w:bodyDiv w:val="1"/>
      <w:marLeft w:val="0"/>
      <w:marRight w:val="0"/>
      <w:marTop w:val="0"/>
      <w:marBottom w:val="0"/>
      <w:divBdr>
        <w:top w:val="none" w:sz="0" w:space="0" w:color="auto"/>
        <w:left w:val="none" w:sz="0" w:space="0" w:color="auto"/>
        <w:bottom w:val="none" w:sz="0" w:space="0" w:color="auto"/>
        <w:right w:val="none" w:sz="0" w:space="0" w:color="auto"/>
      </w:divBdr>
    </w:div>
    <w:div w:id="1768453692">
      <w:bodyDiv w:val="1"/>
      <w:marLeft w:val="0"/>
      <w:marRight w:val="0"/>
      <w:marTop w:val="0"/>
      <w:marBottom w:val="0"/>
      <w:divBdr>
        <w:top w:val="none" w:sz="0" w:space="0" w:color="auto"/>
        <w:left w:val="none" w:sz="0" w:space="0" w:color="auto"/>
        <w:bottom w:val="none" w:sz="0" w:space="0" w:color="auto"/>
        <w:right w:val="none" w:sz="0" w:space="0" w:color="auto"/>
      </w:divBdr>
    </w:div>
    <w:div w:id="20600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k.expertus.com.ua/law/14719" TargetMode="External"/><Relationship Id="rId4" Type="http://schemas.openxmlformats.org/officeDocument/2006/relationships/hyperlink" Target="https://ek.expertus.com.ua/law/14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2024-05-10T11:32:00Z</dcterms:created>
  <dcterms:modified xsi:type="dcterms:W3CDTF">2024-05-10T11:40:00Z</dcterms:modified>
</cp:coreProperties>
</file>